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宋体" w:hAnsi="宋体" w:eastAsia="宋体"/>
          <w:b/>
          <w:bCs/>
          <w:sz w:val="32"/>
          <w:szCs w:val="32"/>
        </w:rPr>
      </w:pPr>
      <w:r>
        <w:rPr>
          <w:rFonts w:hint="eastAsia" w:ascii="宋体" w:hAnsi="宋体" w:eastAsia="宋体"/>
          <w:b/>
          <w:bCs/>
          <w:sz w:val="32"/>
          <w:szCs w:val="32"/>
        </w:rPr>
        <w:t>三江公馆二期项目19#房外墙幕墙工程</w:t>
      </w:r>
      <w:r>
        <w:rPr>
          <w:rFonts w:ascii="宋体" w:hAnsi="宋体" w:eastAsia="宋体"/>
          <w:b/>
          <w:bCs/>
          <w:sz w:val="32"/>
          <w:szCs w:val="32"/>
        </w:rPr>
        <w:t>工程量清单控制价编制说</w:t>
      </w:r>
      <w:r>
        <w:rPr>
          <w:rFonts w:hint="eastAsia" w:ascii="宋体" w:hAnsi="宋体" w:eastAsia="宋体"/>
          <w:b/>
          <w:bCs/>
          <w:sz w:val="32"/>
          <w:szCs w:val="32"/>
        </w:rPr>
        <w:t>明</w:t>
      </w:r>
    </w:p>
    <w:p>
      <w:pPr>
        <w:spacing w:line="480" w:lineRule="auto"/>
        <w:jc w:val="left"/>
        <w:rPr>
          <w:rFonts w:ascii="仿宋" w:hAnsi="仿宋" w:eastAsia="仿宋"/>
          <w:bCs/>
          <w:sz w:val="32"/>
          <w:szCs w:val="32"/>
        </w:rPr>
      </w:pPr>
      <w:r>
        <w:rPr>
          <w:rFonts w:hint="eastAsia" w:ascii="仿宋" w:hAnsi="仿宋" w:eastAsia="仿宋"/>
          <w:bCs/>
          <w:sz w:val="24"/>
          <w:szCs w:val="24"/>
        </w:rPr>
        <w:t>一、</w:t>
      </w:r>
      <w:r>
        <w:rPr>
          <w:rFonts w:ascii="仿宋" w:hAnsi="仿宋" w:eastAsia="仿宋"/>
          <w:sz w:val="24"/>
          <w:szCs w:val="24"/>
        </w:rPr>
        <w:t>工程名称：</w:t>
      </w:r>
      <w:r>
        <w:rPr>
          <w:rFonts w:hint="eastAsia" w:ascii="仿宋" w:hAnsi="仿宋" w:eastAsia="仿宋"/>
          <w:bCs/>
          <w:sz w:val="24"/>
          <w:szCs w:val="24"/>
        </w:rPr>
        <w:t>三江公馆二期19#房外墙幕墙项目</w:t>
      </w:r>
    </w:p>
    <w:p>
      <w:pPr>
        <w:spacing w:line="360" w:lineRule="auto"/>
        <w:jc w:val="left"/>
        <w:rPr>
          <w:rFonts w:ascii="仿宋" w:hAnsi="仿宋" w:eastAsia="仿宋"/>
          <w:sz w:val="24"/>
          <w:szCs w:val="24"/>
        </w:rPr>
      </w:pPr>
      <w:r>
        <w:rPr>
          <w:rFonts w:ascii="仿宋" w:hAnsi="仿宋" w:eastAsia="仿宋"/>
          <w:sz w:val="24"/>
          <w:szCs w:val="24"/>
        </w:rPr>
        <w:t>二、</w:t>
      </w:r>
      <w:r>
        <w:rPr>
          <w:rFonts w:hint="eastAsia" w:ascii="仿宋" w:hAnsi="仿宋" w:eastAsia="仿宋"/>
          <w:sz w:val="24"/>
          <w:szCs w:val="24"/>
        </w:rPr>
        <w:t>施工</w:t>
      </w:r>
      <w:r>
        <w:rPr>
          <w:rFonts w:ascii="仿宋" w:hAnsi="仿宋" w:eastAsia="仿宋"/>
          <w:sz w:val="24"/>
          <w:szCs w:val="24"/>
        </w:rPr>
        <w:t>范围：</w:t>
      </w:r>
      <w:r>
        <w:rPr>
          <w:rFonts w:hint="eastAsia" w:ascii="仿宋" w:hAnsi="仿宋" w:eastAsia="仿宋"/>
          <w:sz w:val="24"/>
          <w:szCs w:val="24"/>
        </w:rPr>
        <w:t>三江公馆二期19#房外墙幕墙工程</w:t>
      </w:r>
      <w:r>
        <w:rPr>
          <w:rFonts w:ascii="仿宋" w:hAnsi="仿宋" w:eastAsia="仿宋"/>
          <w:sz w:val="24"/>
          <w:szCs w:val="24"/>
        </w:rPr>
        <w:t>。</w:t>
      </w:r>
    </w:p>
    <w:p>
      <w:pPr>
        <w:spacing w:line="600" w:lineRule="exact"/>
        <w:jc w:val="left"/>
        <w:rPr>
          <w:rFonts w:ascii="仿宋" w:hAnsi="仿宋" w:eastAsia="仿宋"/>
          <w:sz w:val="24"/>
          <w:szCs w:val="24"/>
        </w:rPr>
      </w:pPr>
      <w:r>
        <w:rPr>
          <w:rFonts w:hint="eastAsia" w:ascii="仿宋" w:hAnsi="仿宋" w:eastAsia="仿宋"/>
          <w:sz w:val="24"/>
          <w:szCs w:val="24"/>
        </w:rPr>
        <w:t>三、工程量清单及控制价编制依据：</w:t>
      </w:r>
    </w:p>
    <w:p>
      <w:pPr>
        <w:autoSpaceDE w:val="0"/>
        <w:autoSpaceDN w:val="0"/>
        <w:adjustRightInd w:val="0"/>
        <w:spacing w:line="600" w:lineRule="exact"/>
        <w:ind w:firstLine="480" w:firstLineChars="200"/>
        <w:jc w:val="left"/>
        <w:rPr>
          <w:rFonts w:ascii="仿宋" w:hAnsi="仿宋" w:eastAsia="仿宋"/>
          <w:sz w:val="24"/>
          <w:szCs w:val="24"/>
        </w:rPr>
      </w:pPr>
      <w:r>
        <w:rPr>
          <w:rFonts w:hint="eastAsia" w:ascii="仿宋" w:hAnsi="仿宋" w:eastAsia="仿宋"/>
          <w:sz w:val="24"/>
          <w:szCs w:val="24"/>
        </w:rPr>
        <w:t>1、提供的设计图纸。</w:t>
      </w:r>
    </w:p>
    <w:p>
      <w:pPr>
        <w:autoSpaceDE w:val="0"/>
        <w:autoSpaceDN w:val="0"/>
        <w:adjustRightInd w:val="0"/>
        <w:spacing w:line="600" w:lineRule="exact"/>
        <w:ind w:firstLine="480" w:firstLineChars="200"/>
        <w:jc w:val="left"/>
        <w:rPr>
          <w:rFonts w:ascii="仿宋" w:hAnsi="仿宋" w:eastAsia="仿宋"/>
          <w:sz w:val="24"/>
          <w:szCs w:val="24"/>
        </w:rPr>
      </w:pPr>
      <w:r>
        <w:rPr>
          <w:rFonts w:hint="eastAsia" w:ascii="仿宋" w:hAnsi="仿宋" w:eastAsia="仿宋"/>
          <w:sz w:val="24"/>
          <w:szCs w:val="24"/>
        </w:rPr>
        <w:t>2、与建设项目相关的标准、规范等技术资料。</w:t>
      </w:r>
    </w:p>
    <w:p>
      <w:pPr>
        <w:autoSpaceDE w:val="0"/>
        <w:autoSpaceDN w:val="0"/>
        <w:adjustRightInd w:val="0"/>
        <w:spacing w:line="600" w:lineRule="exact"/>
        <w:jc w:val="left"/>
        <w:rPr>
          <w:rFonts w:ascii="仿宋" w:hAnsi="仿宋" w:eastAsia="仿宋"/>
          <w:sz w:val="24"/>
          <w:szCs w:val="24"/>
        </w:rPr>
      </w:pPr>
      <w:r>
        <w:rPr>
          <w:rFonts w:hint="eastAsia" w:ascii="仿宋" w:hAnsi="仿宋" w:eastAsia="仿宋"/>
          <w:sz w:val="24"/>
          <w:szCs w:val="24"/>
        </w:rPr>
        <w:t>四、</w:t>
      </w:r>
      <w:r>
        <w:rPr>
          <w:rFonts w:ascii="仿宋" w:hAnsi="仿宋" w:eastAsia="仿宋"/>
          <w:sz w:val="24"/>
          <w:szCs w:val="24"/>
        </w:rPr>
        <w:t>编制说明</w:t>
      </w:r>
    </w:p>
    <w:p>
      <w:pPr>
        <w:autoSpaceDE w:val="0"/>
        <w:autoSpaceDN w:val="0"/>
        <w:adjustRightInd w:val="0"/>
        <w:spacing w:line="600" w:lineRule="exact"/>
        <w:ind w:firstLine="480" w:firstLineChars="200"/>
        <w:jc w:val="left"/>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清单所列工程数量是根据图纸或现行情况暂定的，仅作为投标的共同基础，不能作为最终结算与支付的依据。结算与支付应以</w:t>
      </w:r>
      <w:r>
        <w:rPr>
          <w:rFonts w:hint="eastAsia" w:ascii="仿宋" w:hAnsi="仿宋" w:eastAsia="仿宋"/>
          <w:sz w:val="24"/>
          <w:szCs w:val="24"/>
        </w:rPr>
        <w:t>总包单位</w:t>
      </w:r>
      <w:r>
        <w:rPr>
          <w:rFonts w:ascii="仿宋" w:hAnsi="仿宋" w:eastAsia="仿宋"/>
          <w:sz w:val="24"/>
          <w:szCs w:val="24"/>
        </w:rPr>
        <w:t>现场代表认可的、按图纸和规范要求完成的工程数量为依据。完成的工程数量，应由承包商按</w:t>
      </w:r>
      <w:r>
        <w:rPr>
          <w:rFonts w:hint="eastAsia" w:ascii="仿宋" w:hAnsi="仿宋" w:eastAsia="仿宋"/>
          <w:sz w:val="24"/>
          <w:szCs w:val="24"/>
        </w:rPr>
        <w:t>总包单位</w:t>
      </w:r>
      <w:r>
        <w:rPr>
          <w:rFonts w:ascii="仿宋" w:hAnsi="仿宋" w:eastAsia="仿宋"/>
          <w:sz w:val="24"/>
          <w:szCs w:val="24"/>
        </w:rPr>
        <w:t>认可的尺寸断面或其他计量方法进行计量，经</w:t>
      </w:r>
      <w:r>
        <w:rPr>
          <w:rFonts w:hint="eastAsia" w:ascii="仿宋" w:hAnsi="仿宋" w:eastAsia="仿宋"/>
          <w:sz w:val="24"/>
          <w:szCs w:val="24"/>
        </w:rPr>
        <w:t>总承包方</w:t>
      </w:r>
      <w:r>
        <w:rPr>
          <w:rFonts w:ascii="仿宋" w:hAnsi="仿宋" w:eastAsia="仿宋"/>
          <w:sz w:val="24"/>
          <w:szCs w:val="24"/>
        </w:rPr>
        <w:t>现场代表确认，最终按工程量清单的</w:t>
      </w:r>
      <w:r>
        <w:rPr>
          <w:rFonts w:hint="eastAsia" w:ascii="仿宋" w:hAnsi="仿宋" w:eastAsia="仿宋"/>
          <w:sz w:val="24"/>
          <w:szCs w:val="24"/>
          <w:lang w:val="en-US" w:eastAsia="zh-CN"/>
        </w:rPr>
        <w:t>综合</w:t>
      </w:r>
      <w:r>
        <w:rPr>
          <w:rFonts w:ascii="仿宋" w:hAnsi="仿宋" w:eastAsia="仿宋"/>
          <w:sz w:val="24"/>
          <w:szCs w:val="24"/>
        </w:rPr>
        <w:t xml:space="preserve">单价进行结算与支付。工程量清单中所列工程量的变动，丝毫不会降低或影响合同条件的效力，也不免除承包商按规定的标准进行施工和修复缺陷的责任。 </w:t>
      </w:r>
    </w:p>
    <w:p>
      <w:pPr>
        <w:autoSpaceDE w:val="0"/>
        <w:autoSpaceDN w:val="0"/>
        <w:adjustRightInd w:val="0"/>
        <w:spacing w:line="600" w:lineRule="exact"/>
        <w:ind w:firstLine="480" w:firstLineChars="200"/>
        <w:jc w:val="left"/>
        <w:rPr>
          <w:rFonts w:ascii="仿宋" w:hAnsi="仿宋" w:eastAsia="仿宋"/>
          <w:sz w:val="24"/>
          <w:szCs w:val="24"/>
        </w:rPr>
      </w:pPr>
      <w:r>
        <w:rPr>
          <w:rFonts w:hint="eastAsia" w:ascii="仿宋" w:hAnsi="仿宋" w:eastAsia="仿宋"/>
          <w:sz w:val="24"/>
          <w:szCs w:val="24"/>
        </w:rPr>
        <w:t>2、外墙幕墙做法详见其技术要求和设计图纸。</w:t>
      </w:r>
    </w:p>
    <w:p>
      <w:pPr>
        <w:autoSpaceDE w:val="0"/>
        <w:autoSpaceDN w:val="0"/>
        <w:adjustRightInd w:val="0"/>
        <w:spacing w:line="600" w:lineRule="exact"/>
        <w:jc w:val="left"/>
        <w:rPr>
          <w:rFonts w:ascii="仿宋" w:hAnsi="仿宋" w:eastAsia="仿宋"/>
          <w:sz w:val="24"/>
          <w:szCs w:val="24"/>
        </w:rPr>
      </w:pPr>
      <w:r>
        <w:rPr>
          <w:rFonts w:ascii="仿宋" w:hAnsi="仿宋" w:eastAsia="仿宋"/>
          <w:sz w:val="24"/>
          <w:szCs w:val="24"/>
        </w:rPr>
        <w:t>五、其它说明</w:t>
      </w:r>
    </w:p>
    <w:p>
      <w:pPr>
        <w:autoSpaceDE w:val="0"/>
        <w:autoSpaceDN w:val="0"/>
        <w:adjustRightInd w:val="0"/>
        <w:spacing w:line="600" w:lineRule="exact"/>
        <w:ind w:firstLine="480" w:firstLineChars="200"/>
        <w:jc w:val="left"/>
        <w:rPr>
          <w:rFonts w:ascii="仿宋" w:hAnsi="仿宋" w:eastAsia="仿宋"/>
          <w:sz w:val="24"/>
          <w:szCs w:val="24"/>
        </w:rPr>
      </w:pPr>
      <w:r>
        <w:rPr>
          <w:rFonts w:hint="eastAsia" w:ascii="仿宋" w:hAnsi="仿宋" w:eastAsia="仿宋"/>
          <w:sz w:val="24"/>
          <w:szCs w:val="24"/>
          <w:lang w:val="en-US" w:eastAsia="zh-CN"/>
        </w:rPr>
        <w:t>1</w:t>
      </w:r>
      <w:r>
        <w:rPr>
          <w:rFonts w:hint="eastAsia" w:ascii="仿宋" w:hAnsi="仿宋" w:eastAsia="仿宋"/>
          <w:sz w:val="24"/>
          <w:szCs w:val="24"/>
        </w:rPr>
        <w:t xml:space="preserve">、当工程量清单项目特征描述不全时以图纸和设计说明及相关规范为准，当工程量清单项目特征描述与图纸不一致时以工程量清单特征描述为准。                                                                                                                                                                           </w:t>
      </w:r>
    </w:p>
    <w:p>
      <w:pPr>
        <w:autoSpaceDE w:val="0"/>
        <w:autoSpaceDN w:val="0"/>
        <w:adjustRightInd w:val="0"/>
        <w:spacing w:line="600" w:lineRule="exact"/>
        <w:ind w:firstLine="480" w:firstLineChars="200"/>
        <w:jc w:val="left"/>
        <w:rPr>
          <w:rFonts w:ascii="仿宋" w:hAnsi="仿宋" w:eastAsia="仿宋"/>
          <w:sz w:val="24"/>
          <w:szCs w:val="24"/>
        </w:rPr>
      </w:pPr>
      <w:r>
        <w:rPr>
          <w:rFonts w:hint="eastAsia" w:ascii="仿宋" w:hAnsi="仿宋" w:eastAsia="仿宋"/>
          <w:sz w:val="24"/>
          <w:szCs w:val="24"/>
          <w:lang w:val="en-US" w:eastAsia="zh-CN"/>
        </w:rPr>
        <w:t>2</w:t>
      </w:r>
      <w:r>
        <w:rPr>
          <w:rFonts w:hint="eastAsia" w:ascii="仿宋" w:hAnsi="仿宋" w:eastAsia="仿宋"/>
          <w:sz w:val="24"/>
          <w:szCs w:val="24"/>
        </w:rPr>
        <w:t>、施工单位进场施工时要确保对现场已有设施、已完工程等的保护，如有破坏必须恢复至原状或按市场价赔偿。保证路面整洁和沿线设施完好，如有破坏不另行计量，风险费用在投标报价中综合考虑。</w:t>
      </w:r>
    </w:p>
    <w:p>
      <w:pPr>
        <w:autoSpaceDE w:val="0"/>
        <w:autoSpaceDN w:val="0"/>
        <w:adjustRightInd w:val="0"/>
        <w:spacing w:line="600" w:lineRule="exact"/>
        <w:ind w:firstLine="480" w:firstLineChars="200"/>
        <w:jc w:val="left"/>
        <w:rPr>
          <w:rFonts w:ascii="仿宋" w:hAnsi="仿宋" w:eastAsia="仿宋"/>
          <w:sz w:val="24"/>
          <w:szCs w:val="24"/>
        </w:rPr>
      </w:pPr>
      <w:r>
        <w:rPr>
          <w:rFonts w:hint="eastAsia" w:ascii="仿宋" w:hAnsi="仿宋" w:eastAsia="仿宋"/>
          <w:sz w:val="24"/>
          <w:szCs w:val="24"/>
          <w:lang w:val="en-US" w:eastAsia="zh-CN"/>
        </w:rPr>
        <w:t>3</w:t>
      </w:r>
      <w:r>
        <w:rPr>
          <w:rFonts w:hint="eastAsia" w:ascii="仿宋" w:hAnsi="仿宋" w:eastAsia="仿宋"/>
          <w:sz w:val="24"/>
          <w:szCs w:val="24"/>
        </w:rPr>
        <w:t>、本工程外墙幕墙施工需重新搭设脚手架</w:t>
      </w:r>
      <w:r>
        <w:rPr>
          <w:rFonts w:hint="eastAsia" w:ascii="仿宋" w:hAnsi="仿宋" w:eastAsia="仿宋"/>
          <w:sz w:val="24"/>
          <w:szCs w:val="24"/>
          <w:lang w:val="en-US" w:eastAsia="zh-CN"/>
        </w:rPr>
        <w:t>或吊篮</w:t>
      </w:r>
      <w:r>
        <w:rPr>
          <w:rFonts w:hint="eastAsia" w:ascii="仿宋" w:hAnsi="仿宋" w:eastAsia="仿宋"/>
          <w:sz w:val="24"/>
          <w:szCs w:val="24"/>
        </w:rPr>
        <w:t>施工，如脚手架</w:t>
      </w:r>
      <w:r>
        <w:rPr>
          <w:rFonts w:hint="eastAsia" w:ascii="仿宋" w:hAnsi="仿宋" w:eastAsia="仿宋"/>
          <w:sz w:val="24"/>
          <w:szCs w:val="24"/>
          <w:lang w:val="en-US" w:eastAsia="zh-CN"/>
        </w:rPr>
        <w:t>或吊篮</w:t>
      </w:r>
      <w:r>
        <w:rPr>
          <w:rFonts w:hint="eastAsia" w:ascii="仿宋" w:hAnsi="仿宋" w:eastAsia="仿宋"/>
          <w:sz w:val="24"/>
          <w:szCs w:val="24"/>
        </w:rPr>
        <w:t>施工方案进行专家认证费等进场前期所有费用等按项包干报价，脚手架、人工、材料、机械超高费不另行计取，投标人报价时应充分考虑此因素后报价。</w:t>
      </w:r>
    </w:p>
    <w:p>
      <w:pPr>
        <w:autoSpaceDE w:val="0"/>
        <w:autoSpaceDN w:val="0"/>
        <w:adjustRightInd w:val="0"/>
        <w:spacing w:line="360" w:lineRule="auto"/>
        <w:ind w:firstLine="480" w:firstLineChars="200"/>
        <w:jc w:val="left"/>
        <w:rPr>
          <w:rFonts w:ascii="仿宋" w:hAnsi="仿宋" w:eastAsia="仿宋"/>
          <w:sz w:val="28"/>
          <w:szCs w:val="28"/>
        </w:rPr>
      </w:pPr>
      <w:r>
        <w:rPr>
          <w:rFonts w:hint="eastAsia" w:ascii="仿宋" w:hAnsi="仿宋" w:eastAsia="仿宋"/>
          <w:sz w:val="24"/>
          <w:szCs w:val="24"/>
          <w:lang w:val="en-US" w:eastAsia="zh-CN"/>
        </w:rPr>
        <w:t>4</w:t>
      </w:r>
      <w:r>
        <w:rPr>
          <w:rFonts w:hint="eastAsia" w:ascii="仿宋" w:hAnsi="仿宋" w:eastAsia="仿宋"/>
          <w:sz w:val="24"/>
          <w:szCs w:val="24"/>
        </w:rPr>
        <w:t>、本工程需满足创建省级标化工地要求，工程质量为常州市优质工程“金龙杯</w:t>
      </w:r>
      <w:r>
        <w:rPr>
          <w:rFonts w:ascii="仿宋" w:hAnsi="仿宋" w:eastAsia="仿宋"/>
          <w:sz w:val="24"/>
          <w:szCs w:val="24"/>
        </w:rPr>
        <w:t>”</w:t>
      </w:r>
      <w:r>
        <w:rPr>
          <w:rFonts w:hint="eastAsia" w:ascii="仿宋" w:hAnsi="仿宋" w:eastAsia="仿宋"/>
          <w:sz w:val="24"/>
          <w:szCs w:val="24"/>
        </w:rPr>
        <w:t>。</w:t>
      </w:r>
    </w:p>
    <w:p>
      <w:pPr>
        <w:autoSpaceDE w:val="0"/>
        <w:autoSpaceDN w:val="0"/>
        <w:adjustRightInd w:val="0"/>
        <w:spacing w:line="600" w:lineRule="exact"/>
        <w:ind w:firstLine="480" w:firstLineChars="200"/>
        <w:jc w:val="left"/>
        <w:rPr>
          <w:rFonts w:ascii="仿宋" w:hAnsi="仿宋" w:eastAsia="仿宋"/>
          <w:sz w:val="24"/>
          <w:szCs w:val="24"/>
        </w:rPr>
      </w:pPr>
      <w:r>
        <w:rPr>
          <w:rFonts w:hint="eastAsia" w:ascii="仿宋" w:hAnsi="仿宋" w:eastAsia="仿宋"/>
          <w:sz w:val="24"/>
          <w:szCs w:val="24"/>
          <w:lang w:val="en-US" w:eastAsia="zh-CN"/>
        </w:rPr>
        <w:t>6</w:t>
      </w:r>
      <w:r>
        <w:rPr>
          <w:rFonts w:hint="eastAsia" w:ascii="仿宋" w:hAnsi="仿宋" w:eastAsia="仿宋"/>
          <w:sz w:val="24"/>
          <w:szCs w:val="24"/>
        </w:rPr>
        <w:t>、检测费、配合费、提供材料费等费用已包含在</w:t>
      </w:r>
      <w:r>
        <w:rPr>
          <w:rFonts w:hint="eastAsia" w:ascii="仿宋" w:hAnsi="仿宋" w:eastAsia="仿宋"/>
          <w:sz w:val="24"/>
          <w:szCs w:val="24"/>
          <w:lang w:val="en-US" w:eastAsia="zh-CN"/>
        </w:rPr>
        <w:t>清单综合</w:t>
      </w:r>
      <w:bookmarkStart w:id="0" w:name="_GoBack"/>
      <w:bookmarkEnd w:id="0"/>
      <w:r>
        <w:rPr>
          <w:rFonts w:hint="eastAsia" w:ascii="仿宋" w:hAnsi="仿宋" w:eastAsia="仿宋"/>
          <w:sz w:val="24"/>
          <w:szCs w:val="24"/>
        </w:rPr>
        <w:t>单价中。</w:t>
      </w:r>
    </w:p>
    <w:p>
      <w:pPr>
        <w:spacing w:line="600" w:lineRule="exact"/>
        <w:ind w:firstLine="480" w:firstLineChars="200"/>
        <w:rPr>
          <w:rFonts w:ascii="仿宋" w:hAnsi="仿宋" w:eastAsia="仿宋"/>
          <w:sz w:val="24"/>
          <w:szCs w:val="24"/>
        </w:rPr>
      </w:pPr>
      <w:r>
        <w:rPr>
          <w:rFonts w:hint="eastAsia" w:ascii="仿宋" w:hAnsi="仿宋" w:eastAsia="仿宋"/>
          <w:sz w:val="24"/>
          <w:szCs w:val="24"/>
          <w:lang w:val="en-US" w:eastAsia="zh-CN"/>
        </w:rPr>
        <w:t>7</w:t>
      </w:r>
      <w:r>
        <w:rPr>
          <w:rFonts w:hint="eastAsia" w:ascii="仿宋" w:hAnsi="仿宋" w:eastAsia="仿宋"/>
          <w:sz w:val="24"/>
          <w:szCs w:val="24"/>
        </w:rPr>
        <w:t>、本工程所用连接件、钢龙骨需镀锌处理的均为热镀锌。</w:t>
      </w:r>
    </w:p>
    <w:p>
      <w:pPr>
        <w:autoSpaceDE w:val="0"/>
        <w:autoSpaceDN w:val="0"/>
        <w:adjustRightInd w:val="0"/>
        <w:spacing w:line="600" w:lineRule="exact"/>
        <w:ind w:firstLine="480" w:firstLineChars="200"/>
        <w:jc w:val="left"/>
        <w:rPr>
          <w:rFonts w:ascii="仿宋" w:hAnsi="仿宋" w:eastAsia="仿宋"/>
          <w:sz w:val="24"/>
          <w:szCs w:val="24"/>
        </w:rPr>
      </w:pPr>
      <w:r>
        <w:rPr>
          <w:rFonts w:hint="eastAsia" w:ascii="仿宋" w:hAnsi="仿宋" w:eastAsia="仿宋"/>
          <w:sz w:val="24"/>
          <w:szCs w:val="24"/>
          <w:lang w:val="en-US" w:eastAsia="zh-CN"/>
        </w:rPr>
        <w:t>8</w:t>
      </w:r>
      <w:r>
        <w:rPr>
          <w:rFonts w:hint="eastAsia" w:ascii="仿宋" w:hAnsi="仿宋" w:eastAsia="仿宋"/>
          <w:sz w:val="24"/>
          <w:szCs w:val="24"/>
        </w:rPr>
        <w:t>、税率为9%。</w:t>
      </w:r>
    </w:p>
    <w:p>
      <w:pPr>
        <w:autoSpaceDE w:val="0"/>
        <w:autoSpaceDN w:val="0"/>
        <w:adjustRightInd w:val="0"/>
        <w:spacing w:line="600" w:lineRule="exact"/>
        <w:ind w:firstLine="480" w:firstLineChars="200"/>
        <w:jc w:val="left"/>
        <w:rPr>
          <w:rFonts w:ascii="仿宋" w:hAnsi="仿宋" w:eastAsia="仿宋"/>
          <w:sz w:val="24"/>
          <w:szCs w:val="24"/>
        </w:rPr>
      </w:pPr>
      <w:r>
        <w:rPr>
          <w:rFonts w:hint="eastAsia" w:ascii="仿宋" w:hAnsi="仿宋" w:eastAsia="仿宋"/>
          <w:sz w:val="24"/>
          <w:szCs w:val="24"/>
          <w:lang w:val="en-US" w:eastAsia="zh-CN"/>
        </w:rPr>
        <w:t>9</w:t>
      </w:r>
      <w:r>
        <w:rPr>
          <w:rFonts w:hint="eastAsia" w:ascii="仿宋" w:hAnsi="仿宋" w:eastAsia="仿宋"/>
          <w:sz w:val="24"/>
          <w:szCs w:val="24"/>
        </w:rPr>
        <w:t>、施工前必须先送样，样品、施工样板必须满足建设方要求，费用已包含在</w:t>
      </w:r>
      <w:r>
        <w:rPr>
          <w:rFonts w:hint="eastAsia" w:ascii="仿宋" w:hAnsi="仿宋" w:eastAsia="仿宋"/>
          <w:sz w:val="24"/>
          <w:szCs w:val="24"/>
          <w:lang w:val="en-US" w:eastAsia="zh-CN"/>
        </w:rPr>
        <w:t>综合</w:t>
      </w:r>
      <w:r>
        <w:rPr>
          <w:rFonts w:hint="eastAsia" w:ascii="仿宋" w:hAnsi="仿宋" w:eastAsia="仿宋"/>
          <w:sz w:val="24"/>
          <w:szCs w:val="24"/>
        </w:rPr>
        <w:t>单价中。</w:t>
      </w:r>
    </w:p>
    <w:p>
      <w:pPr>
        <w:autoSpaceDE w:val="0"/>
        <w:autoSpaceDN w:val="0"/>
        <w:adjustRightInd w:val="0"/>
        <w:spacing w:line="600" w:lineRule="exact"/>
        <w:ind w:firstLine="480" w:firstLineChars="200"/>
        <w:jc w:val="left"/>
        <w:rPr>
          <w:rFonts w:hint="eastAsia" w:ascii="仿宋" w:hAnsi="仿宋" w:eastAsia="仿宋"/>
          <w:sz w:val="24"/>
          <w:szCs w:val="24"/>
        </w:rPr>
      </w:pPr>
      <w:r>
        <w:rPr>
          <w:rFonts w:hint="eastAsia" w:ascii="仿宋" w:hAnsi="仿宋" w:eastAsia="仿宋"/>
          <w:sz w:val="24"/>
          <w:szCs w:val="24"/>
          <w:lang w:val="en-US" w:eastAsia="zh-CN"/>
        </w:rPr>
        <w:t>10</w:t>
      </w:r>
      <w:r>
        <w:rPr>
          <w:rFonts w:hint="eastAsia" w:ascii="仿宋" w:hAnsi="仿宋" w:eastAsia="仿宋"/>
          <w:sz w:val="24"/>
          <w:szCs w:val="24"/>
        </w:rPr>
        <w:t>、施工单位自行办理意外工伤险，费用包含在</w:t>
      </w:r>
      <w:r>
        <w:rPr>
          <w:rFonts w:hint="eastAsia" w:ascii="仿宋" w:hAnsi="仿宋" w:eastAsia="仿宋"/>
          <w:sz w:val="24"/>
          <w:szCs w:val="24"/>
          <w:lang w:val="en-US" w:eastAsia="zh-CN"/>
        </w:rPr>
        <w:t>清单综合</w:t>
      </w:r>
      <w:r>
        <w:rPr>
          <w:rFonts w:hint="eastAsia" w:ascii="仿宋" w:hAnsi="仿宋" w:eastAsia="仿宋"/>
          <w:sz w:val="24"/>
          <w:szCs w:val="24"/>
        </w:rPr>
        <w:t>单价中。</w:t>
      </w:r>
    </w:p>
    <w:p>
      <w:pPr>
        <w:autoSpaceDE w:val="0"/>
        <w:autoSpaceDN w:val="0"/>
        <w:adjustRightInd w:val="0"/>
        <w:spacing w:line="600" w:lineRule="exact"/>
        <w:ind w:firstLine="480" w:firstLineChars="200"/>
        <w:jc w:val="left"/>
        <w:rPr>
          <w:rFonts w:hint="eastAsia" w:ascii="仿宋" w:hAnsi="仿宋" w:eastAsia="仿宋"/>
          <w:sz w:val="24"/>
          <w:szCs w:val="24"/>
          <w:lang w:val="en-US" w:eastAsia="zh-CN"/>
        </w:rPr>
      </w:pPr>
      <w:r>
        <w:rPr>
          <w:rFonts w:hint="eastAsia" w:ascii="仿宋" w:hAnsi="仿宋" w:eastAsia="仿宋"/>
          <w:sz w:val="24"/>
          <w:szCs w:val="24"/>
          <w:lang w:val="en-US" w:eastAsia="zh-CN"/>
        </w:rPr>
        <w:t>11、调价主材含量按施工图及定额规定损耗计算材料工程量。</w:t>
      </w:r>
    </w:p>
    <w:p>
      <w:pPr>
        <w:autoSpaceDE w:val="0"/>
        <w:autoSpaceDN w:val="0"/>
        <w:adjustRightInd w:val="0"/>
        <w:spacing w:line="600" w:lineRule="exact"/>
        <w:ind w:firstLine="480" w:firstLineChars="200"/>
        <w:jc w:val="left"/>
        <w:rPr>
          <w:rFonts w:hint="default" w:ascii="仿宋" w:hAnsi="仿宋" w:eastAsia="仿宋"/>
          <w:sz w:val="24"/>
          <w:szCs w:val="24"/>
          <w:lang w:val="en-US" w:eastAsia="zh-CN"/>
        </w:rPr>
      </w:pPr>
      <w:r>
        <w:rPr>
          <w:rFonts w:hint="eastAsia" w:ascii="仿宋" w:hAnsi="仿宋" w:eastAsia="仿宋"/>
          <w:sz w:val="24"/>
          <w:szCs w:val="24"/>
          <w:lang w:val="en-US" w:eastAsia="zh-CN"/>
        </w:rPr>
        <w:t>12、投标单位按清单模式自由组价下浮。</w:t>
      </w:r>
    </w:p>
    <w:p>
      <w:pPr>
        <w:spacing w:line="600" w:lineRule="exact"/>
        <w:rPr>
          <w:rFonts w:ascii="仿宋" w:hAnsi="仿宋" w:eastAsia="仿宋"/>
          <w:sz w:val="24"/>
          <w:szCs w:val="24"/>
        </w:rPr>
      </w:pPr>
      <w:r>
        <w:rPr>
          <w:rFonts w:ascii="仿宋" w:hAnsi="仿宋" w:eastAsia="仿宋"/>
          <w:sz w:val="24"/>
          <w:szCs w:val="24"/>
        </w:rPr>
        <w:t>六、</w:t>
      </w:r>
      <w:r>
        <w:rPr>
          <w:rFonts w:hint="eastAsia" w:ascii="仿宋" w:hAnsi="仿宋" w:eastAsia="仿宋"/>
          <w:sz w:val="24"/>
          <w:szCs w:val="24"/>
        </w:rPr>
        <w:t>主要材料备选品牌：</w:t>
      </w:r>
    </w:p>
    <w:tbl>
      <w:tblPr>
        <w:tblStyle w:val="4"/>
        <w:tblW w:w="9940" w:type="dxa"/>
        <w:tblInd w:w="99" w:type="dxa"/>
        <w:tblLayout w:type="fixed"/>
        <w:tblCellMar>
          <w:top w:w="0" w:type="dxa"/>
          <w:left w:w="108" w:type="dxa"/>
          <w:bottom w:w="0" w:type="dxa"/>
          <w:right w:w="108" w:type="dxa"/>
        </w:tblCellMar>
      </w:tblPr>
      <w:tblGrid>
        <w:gridCol w:w="1000"/>
        <w:gridCol w:w="2660"/>
        <w:gridCol w:w="4480"/>
        <w:gridCol w:w="1800"/>
      </w:tblGrid>
      <w:tr>
        <w:tblPrEx>
          <w:tblCellMar>
            <w:top w:w="0" w:type="dxa"/>
            <w:left w:w="108" w:type="dxa"/>
            <w:bottom w:w="0" w:type="dxa"/>
            <w:right w:w="108" w:type="dxa"/>
          </w:tblCellMar>
        </w:tblPrEx>
        <w:trPr>
          <w:trHeight w:val="343" w:hRule="atLeast"/>
        </w:trPr>
        <w:tc>
          <w:tcPr>
            <w:tcW w:w="100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600" w:lineRule="exact"/>
              <w:jc w:val="center"/>
              <w:rPr>
                <w:rFonts w:ascii="仿宋" w:hAnsi="仿宋" w:eastAsia="仿宋" w:cs="宋体"/>
                <w:kern w:val="0"/>
                <w:sz w:val="24"/>
                <w:szCs w:val="24"/>
              </w:rPr>
            </w:pPr>
            <w:r>
              <w:rPr>
                <w:rFonts w:hint="eastAsia" w:ascii="仿宋" w:hAnsi="仿宋" w:eastAsia="仿宋" w:cs="宋体"/>
                <w:kern w:val="0"/>
                <w:sz w:val="24"/>
                <w:szCs w:val="24"/>
              </w:rPr>
              <w:t>序号</w:t>
            </w:r>
          </w:p>
        </w:tc>
        <w:tc>
          <w:tcPr>
            <w:tcW w:w="2660" w:type="dxa"/>
            <w:tcBorders>
              <w:top w:val="single" w:color="auto" w:sz="4" w:space="0"/>
              <w:left w:val="nil"/>
              <w:bottom w:val="single" w:color="auto" w:sz="4" w:space="0"/>
              <w:right w:val="single" w:color="auto" w:sz="4" w:space="0"/>
            </w:tcBorders>
            <w:shd w:val="clear" w:color="000000" w:fill="FFFFFF"/>
            <w:vAlign w:val="center"/>
          </w:tcPr>
          <w:p>
            <w:pPr>
              <w:widowControl/>
              <w:spacing w:line="600" w:lineRule="exact"/>
              <w:jc w:val="center"/>
              <w:rPr>
                <w:rFonts w:ascii="仿宋" w:hAnsi="仿宋" w:eastAsia="仿宋" w:cs="宋体"/>
                <w:kern w:val="0"/>
                <w:sz w:val="24"/>
                <w:szCs w:val="24"/>
              </w:rPr>
            </w:pPr>
            <w:r>
              <w:rPr>
                <w:rFonts w:hint="eastAsia" w:ascii="仿宋" w:hAnsi="仿宋" w:eastAsia="仿宋" w:cs="宋体"/>
                <w:kern w:val="0"/>
                <w:sz w:val="24"/>
                <w:szCs w:val="24"/>
              </w:rPr>
              <w:t>材料名称及规格</w:t>
            </w:r>
          </w:p>
        </w:tc>
        <w:tc>
          <w:tcPr>
            <w:tcW w:w="4480" w:type="dxa"/>
            <w:tcBorders>
              <w:top w:val="single" w:color="auto" w:sz="4" w:space="0"/>
              <w:left w:val="nil"/>
              <w:bottom w:val="single" w:color="auto" w:sz="4" w:space="0"/>
              <w:right w:val="single" w:color="auto" w:sz="4" w:space="0"/>
            </w:tcBorders>
            <w:shd w:val="clear" w:color="000000" w:fill="FFFFFF"/>
            <w:vAlign w:val="center"/>
          </w:tcPr>
          <w:p>
            <w:pPr>
              <w:widowControl/>
              <w:spacing w:line="600" w:lineRule="exact"/>
              <w:jc w:val="center"/>
              <w:rPr>
                <w:rFonts w:ascii="仿宋" w:hAnsi="仿宋" w:eastAsia="仿宋" w:cs="宋体"/>
                <w:kern w:val="0"/>
                <w:sz w:val="24"/>
                <w:szCs w:val="24"/>
              </w:rPr>
            </w:pPr>
            <w:r>
              <w:rPr>
                <w:rFonts w:hint="eastAsia" w:ascii="仿宋" w:hAnsi="仿宋" w:eastAsia="仿宋" w:cs="宋体"/>
                <w:kern w:val="0"/>
                <w:sz w:val="24"/>
                <w:szCs w:val="24"/>
              </w:rPr>
              <w:t>拟用品牌</w:t>
            </w:r>
          </w:p>
        </w:tc>
        <w:tc>
          <w:tcPr>
            <w:tcW w:w="1800" w:type="dxa"/>
            <w:tcBorders>
              <w:top w:val="single" w:color="auto" w:sz="4" w:space="0"/>
              <w:left w:val="nil"/>
              <w:bottom w:val="single" w:color="auto" w:sz="4" w:space="0"/>
              <w:right w:val="single" w:color="auto" w:sz="4" w:space="0"/>
            </w:tcBorders>
            <w:shd w:val="clear" w:color="000000" w:fill="FFFFFF"/>
            <w:vAlign w:val="center"/>
          </w:tcPr>
          <w:p>
            <w:pPr>
              <w:widowControl/>
              <w:spacing w:line="600" w:lineRule="exact"/>
              <w:jc w:val="center"/>
              <w:rPr>
                <w:rFonts w:ascii="仿宋" w:hAnsi="仿宋" w:eastAsia="仿宋" w:cs="宋体"/>
                <w:kern w:val="0"/>
                <w:sz w:val="24"/>
                <w:szCs w:val="24"/>
              </w:rPr>
            </w:pPr>
            <w:r>
              <w:rPr>
                <w:rFonts w:hint="eastAsia" w:ascii="仿宋" w:hAnsi="仿宋" w:eastAsia="仿宋" w:cs="宋体"/>
                <w:kern w:val="0"/>
                <w:sz w:val="24"/>
                <w:szCs w:val="24"/>
              </w:rPr>
              <w:t>备注</w:t>
            </w:r>
          </w:p>
        </w:tc>
      </w:tr>
      <w:tr>
        <w:tblPrEx>
          <w:tblCellMar>
            <w:top w:w="0" w:type="dxa"/>
            <w:left w:w="108" w:type="dxa"/>
            <w:bottom w:w="0" w:type="dxa"/>
            <w:right w:w="108" w:type="dxa"/>
          </w:tblCellMar>
        </w:tblPrEx>
        <w:trPr>
          <w:trHeight w:val="343" w:hRule="atLeast"/>
        </w:trPr>
        <w:tc>
          <w:tcPr>
            <w:tcW w:w="100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600" w:lineRule="exact"/>
              <w:jc w:val="center"/>
              <w:rPr>
                <w:rFonts w:hint="eastAsia" w:ascii="仿宋" w:hAnsi="仿宋" w:eastAsia="仿宋" w:cs="宋体"/>
                <w:kern w:val="0"/>
                <w:sz w:val="24"/>
                <w:szCs w:val="24"/>
              </w:rPr>
            </w:pPr>
            <w:r>
              <w:rPr>
                <w:rFonts w:hint="eastAsia" w:ascii="仿宋" w:hAnsi="仿宋" w:eastAsia="仿宋" w:cs="宋体"/>
                <w:kern w:val="0"/>
                <w:sz w:val="24"/>
                <w:szCs w:val="24"/>
              </w:rPr>
              <w:t>1</w:t>
            </w:r>
          </w:p>
        </w:tc>
        <w:tc>
          <w:tcPr>
            <w:tcW w:w="2660" w:type="dxa"/>
            <w:tcBorders>
              <w:top w:val="single" w:color="auto" w:sz="4" w:space="0"/>
              <w:left w:val="nil"/>
              <w:bottom w:val="single" w:color="auto" w:sz="4" w:space="0"/>
              <w:right w:val="single" w:color="auto" w:sz="4" w:space="0"/>
            </w:tcBorders>
            <w:shd w:val="clear" w:color="000000" w:fill="FFFFFF"/>
            <w:vAlign w:val="center"/>
          </w:tcPr>
          <w:p>
            <w:pPr>
              <w:widowControl/>
              <w:spacing w:line="600" w:lineRule="exact"/>
              <w:jc w:val="center"/>
              <w:rPr>
                <w:rFonts w:hint="eastAsia" w:ascii="仿宋" w:hAnsi="仿宋" w:eastAsia="仿宋" w:cs="宋体"/>
                <w:kern w:val="0"/>
                <w:sz w:val="24"/>
                <w:szCs w:val="24"/>
              </w:rPr>
            </w:pPr>
            <w:r>
              <w:rPr>
                <w:rFonts w:hint="eastAsia" w:ascii="仿宋" w:hAnsi="仿宋" w:eastAsia="仿宋" w:cs="宋体"/>
                <w:kern w:val="0"/>
                <w:sz w:val="24"/>
                <w:szCs w:val="24"/>
              </w:rPr>
              <w:t>铝合金型材</w:t>
            </w:r>
          </w:p>
        </w:tc>
        <w:tc>
          <w:tcPr>
            <w:tcW w:w="4480" w:type="dxa"/>
            <w:tcBorders>
              <w:top w:val="single" w:color="auto" w:sz="4" w:space="0"/>
              <w:left w:val="nil"/>
              <w:bottom w:val="single" w:color="auto" w:sz="4" w:space="0"/>
              <w:right w:val="single" w:color="auto" w:sz="4" w:space="0"/>
            </w:tcBorders>
            <w:shd w:val="clear" w:color="000000" w:fill="FFFFFF"/>
            <w:vAlign w:val="center"/>
          </w:tcPr>
          <w:p>
            <w:pPr>
              <w:widowControl/>
              <w:spacing w:line="600" w:lineRule="exact"/>
              <w:jc w:val="center"/>
              <w:rPr>
                <w:rFonts w:hint="eastAsia" w:ascii="仿宋" w:hAnsi="仿宋" w:eastAsia="仿宋" w:cs="宋体"/>
                <w:kern w:val="0"/>
                <w:sz w:val="24"/>
                <w:szCs w:val="24"/>
              </w:rPr>
            </w:pPr>
            <w:r>
              <w:rPr>
                <w:rFonts w:hint="eastAsia" w:ascii="仿宋" w:hAnsi="仿宋" w:eastAsia="仿宋" w:cs="宋体"/>
                <w:kern w:val="0"/>
                <w:sz w:val="24"/>
                <w:szCs w:val="24"/>
              </w:rPr>
              <w:t>科蓝特、兴发、柯美特</w:t>
            </w:r>
          </w:p>
        </w:tc>
        <w:tc>
          <w:tcPr>
            <w:tcW w:w="1800" w:type="dxa"/>
            <w:tcBorders>
              <w:top w:val="single" w:color="auto" w:sz="4" w:space="0"/>
              <w:left w:val="nil"/>
              <w:bottom w:val="single" w:color="auto" w:sz="4" w:space="0"/>
              <w:right w:val="single" w:color="auto" w:sz="4" w:space="0"/>
            </w:tcBorders>
            <w:shd w:val="clear" w:color="000000" w:fill="FFFFFF"/>
            <w:vAlign w:val="center"/>
          </w:tcPr>
          <w:p>
            <w:pPr>
              <w:widowControl/>
              <w:spacing w:line="600" w:lineRule="exact"/>
              <w:jc w:val="center"/>
              <w:rPr>
                <w:rFonts w:hint="eastAsia" w:ascii="仿宋" w:hAnsi="仿宋" w:eastAsia="仿宋" w:cs="宋体"/>
                <w:kern w:val="0"/>
                <w:sz w:val="24"/>
                <w:szCs w:val="24"/>
              </w:rPr>
            </w:pPr>
          </w:p>
        </w:tc>
      </w:tr>
      <w:tr>
        <w:tblPrEx>
          <w:tblCellMar>
            <w:top w:w="0" w:type="dxa"/>
            <w:left w:w="108" w:type="dxa"/>
            <w:bottom w:w="0" w:type="dxa"/>
            <w:right w:w="108" w:type="dxa"/>
          </w:tblCellMar>
        </w:tblPrEx>
        <w:trPr>
          <w:trHeight w:val="343" w:hRule="atLeast"/>
        </w:trPr>
        <w:tc>
          <w:tcPr>
            <w:tcW w:w="100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600" w:lineRule="exact"/>
              <w:jc w:val="center"/>
              <w:rPr>
                <w:rFonts w:hint="eastAsia" w:ascii="仿宋" w:hAnsi="仿宋" w:eastAsia="仿宋" w:cs="宋体"/>
                <w:kern w:val="0"/>
                <w:sz w:val="24"/>
                <w:szCs w:val="24"/>
              </w:rPr>
            </w:pPr>
            <w:r>
              <w:rPr>
                <w:rFonts w:hint="eastAsia" w:ascii="仿宋" w:hAnsi="仿宋" w:eastAsia="仿宋" w:cs="宋体"/>
                <w:kern w:val="0"/>
                <w:sz w:val="24"/>
                <w:szCs w:val="24"/>
              </w:rPr>
              <w:t>2</w:t>
            </w:r>
          </w:p>
        </w:tc>
        <w:tc>
          <w:tcPr>
            <w:tcW w:w="2660" w:type="dxa"/>
            <w:tcBorders>
              <w:top w:val="single" w:color="auto" w:sz="4" w:space="0"/>
              <w:left w:val="nil"/>
              <w:bottom w:val="single" w:color="auto" w:sz="4" w:space="0"/>
              <w:right w:val="single" w:color="auto" w:sz="4" w:space="0"/>
            </w:tcBorders>
            <w:shd w:val="clear" w:color="000000" w:fill="FFFFFF"/>
            <w:vAlign w:val="center"/>
          </w:tcPr>
          <w:p>
            <w:pPr>
              <w:widowControl/>
              <w:spacing w:line="600" w:lineRule="exact"/>
              <w:jc w:val="center"/>
              <w:rPr>
                <w:rFonts w:hint="eastAsia" w:ascii="仿宋" w:hAnsi="仿宋" w:eastAsia="仿宋" w:cs="宋体"/>
                <w:kern w:val="0"/>
                <w:sz w:val="24"/>
                <w:szCs w:val="24"/>
              </w:rPr>
            </w:pPr>
            <w:r>
              <w:rPr>
                <w:rFonts w:hint="eastAsia" w:ascii="仿宋" w:hAnsi="仿宋" w:eastAsia="仿宋" w:cs="宋体"/>
                <w:kern w:val="0"/>
                <w:sz w:val="24"/>
                <w:szCs w:val="24"/>
              </w:rPr>
              <w:t>五金配件</w:t>
            </w:r>
          </w:p>
        </w:tc>
        <w:tc>
          <w:tcPr>
            <w:tcW w:w="4480" w:type="dxa"/>
            <w:tcBorders>
              <w:top w:val="single" w:color="auto" w:sz="4" w:space="0"/>
              <w:left w:val="nil"/>
              <w:bottom w:val="single" w:color="auto" w:sz="4" w:space="0"/>
              <w:right w:val="single" w:color="auto" w:sz="4" w:space="0"/>
            </w:tcBorders>
            <w:shd w:val="clear" w:color="000000" w:fill="FFFFFF"/>
            <w:vAlign w:val="center"/>
          </w:tcPr>
          <w:p>
            <w:pPr>
              <w:widowControl/>
              <w:spacing w:line="600" w:lineRule="exact"/>
              <w:jc w:val="center"/>
              <w:rPr>
                <w:rFonts w:hint="eastAsia" w:ascii="仿宋" w:hAnsi="仿宋" w:eastAsia="仿宋" w:cs="宋体"/>
                <w:kern w:val="0"/>
                <w:sz w:val="24"/>
                <w:szCs w:val="24"/>
              </w:rPr>
            </w:pPr>
            <w:r>
              <w:rPr>
                <w:rFonts w:hint="eastAsia" w:ascii="仿宋" w:hAnsi="仿宋" w:eastAsia="仿宋" w:cs="宋体"/>
                <w:kern w:val="0"/>
                <w:sz w:val="24"/>
                <w:szCs w:val="24"/>
              </w:rPr>
              <w:t>坚朗、立兴、广州合和</w:t>
            </w:r>
          </w:p>
        </w:tc>
        <w:tc>
          <w:tcPr>
            <w:tcW w:w="1800" w:type="dxa"/>
            <w:tcBorders>
              <w:top w:val="single" w:color="auto" w:sz="4" w:space="0"/>
              <w:left w:val="nil"/>
              <w:bottom w:val="single" w:color="auto" w:sz="4" w:space="0"/>
              <w:right w:val="single" w:color="auto" w:sz="4" w:space="0"/>
            </w:tcBorders>
            <w:shd w:val="clear" w:color="000000" w:fill="FFFFFF"/>
            <w:vAlign w:val="center"/>
          </w:tcPr>
          <w:p>
            <w:pPr>
              <w:widowControl/>
              <w:spacing w:line="600" w:lineRule="exact"/>
              <w:jc w:val="center"/>
              <w:rPr>
                <w:rFonts w:hint="eastAsia" w:ascii="仿宋" w:hAnsi="仿宋" w:eastAsia="仿宋" w:cs="宋体"/>
                <w:kern w:val="0"/>
                <w:sz w:val="24"/>
                <w:szCs w:val="24"/>
              </w:rPr>
            </w:pPr>
          </w:p>
        </w:tc>
      </w:tr>
      <w:tr>
        <w:tblPrEx>
          <w:tblCellMar>
            <w:top w:w="0" w:type="dxa"/>
            <w:left w:w="108" w:type="dxa"/>
            <w:bottom w:w="0" w:type="dxa"/>
            <w:right w:w="108" w:type="dxa"/>
          </w:tblCellMar>
        </w:tblPrEx>
        <w:trPr>
          <w:trHeight w:val="343" w:hRule="atLeast"/>
        </w:trPr>
        <w:tc>
          <w:tcPr>
            <w:tcW w:w="100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600" w:lineRule="exact"/>
              <w:jc w:val="center"/>
              <w:rPr>
                <w:rFonts w:hint="eastAsia" w:ascii="仿宋" w:hAnsi="仿宋" w:eastAsia="仿宋" w:cs="宋体"/>
                <w:kern w:val="0"/>
                <w:sz w:val="24"/>
                <w:szCs w:val="24"/>
              </w:rPr>
            </w:pPr>
            <w:r>
              <w:rPr>
                <w:rFonts w:hint="eastAsia" w:ascii="仿宋" w:hAnsi="仿宋" w:eastAsia="仿宋" w:cs="宋体"/>
                <w:kern w:val="0"/>
                <w:sz w:val="24"/>
                <w:szCs w:val="24"/>
              </w:rPr>
              <w:t>3</w:t>
            </w:r>
          </w:p>
        </w:tc>
        <w:tc>
          <w:tcPr>
            <w:tcW w:w="2660" w:type="dxa"/>
            <w:tcBorders>
              <w:top w:val="single" w:color="auto" w:sz="4" w:space="0"/>
              <w:left w:val="nil"/>
              <w:bottom w:val="single" w:color="auto" w:sz="4" w:space="0"/>
              <w:right w:val="single" w:color="auto" w:sz="4" w:space="0"/>
            </w:tcBorders>
            <w:shd w:val="clear" w:color="000000" w:fill="FFFFFF"/>
            <w:vAlign w:val="center"/>
          </w:tcPr>
          <w:p>
            <w:pPr>
              <w:widowControl/>
              <w:spacing w:line="600" w:lineRule="exact"/>
              <w:jc w:val="center"/>
              <w:rPr>
                <w:rFonts w:hint="eastAsia" w:ascii="仿宋" w:hAnsi="仿宋" w:eastAsia="仿宋" w:cs="宋体"/>
                <w:kern w:val="0"/>
                <w:sz w:val="24"/>
                <w:szCs w:val="24"/>
              </w:rPr>
            </w:pPr>
            <w:r>
              <w:rPr>
                <w:rFonts w:hint="eastAsia" w:ascii="仿宋" w:hAnsi="仿宋" w:eastAsia="仿宋" w:cs="宋体"/>
                <w:kern w:val="0"/>
                <w:sz w:val="24"/>
                <w:szCs w:val="24"/>
              </w:rPr>
              <w:t>地弹簧</w:t>
            </w:r>
          </w:p>
        </w:tc>
        <w:tc>
          <w:tcPr>
            <w:tcW w:w="4480" w:type="dxa"/>
            <w:tcBorders>
              <w:top w:val="single" w:color="auto" w:sz="4" w:space="0"/>
              <w:left w:val="nil"/>
              <w:bottom w:val="single" w:color="auto" w:sz="4" w:space="0"/>
              <w:right w:val="single" w:color="auto" w:sz="4" w:space="0"/>
            </w:tcBorders>
            <w:shd w:val="clear" w:color="000000" w:fill="FFFFFF"/>
            <w:vAlign w:val="center"/>
          </w:tcPr>
          <w:p>
            <w:pPr>
              <w:widowControl/>
              <w:spacing w:line="600" w:lineRule="exact"/>
              <w:jc w:val="center"/>
              <w:rPr>
                <w:rFonts w:hint="eastAsia" w:ascii="仿宋" w:hAnsi="仿宋" w:eastAsia="仿宋" w:cs="宋体"/>
                <w:kern w:val="0"/>
                <w:sz w:val="24"/>
                <w:szCs w:val="24"/>
              </w:rPr>
            </w:pPr>
            <w:r>
              <w:rPr>
                <w:rFonts w:hint="eastAsia" w:ascii="仿宋" w:hAnsi="仿宋" w:eastAsia="仿宋" w:cs="宋体"/>
                <w:kern w:val="0"/>
                <w:sz w:val="24"/>
                <w:szCs w:val="24"/>
              </w:rPr>
              <w:t>GMT、德力拓、坚朗</w:t>
            </w:r>
          </w:p>
        </w:tc>
        <w:tc>
          <w:tcPr>
            <w:tcW w:w="1800" w:type="dxa"/>
            <w:tcBorders>
              <w:top w:val="single" w:color="auto" w:sz="4" w:space="0"/>
              <w:left w:val="nil"/>
              <w:bottom w:val="single" w:color="auto" w:sz="4" w:space="0"/>
              <w:right w:val="single" w:color="auto" w:sz="4" w:space="0"/>
            </w:tcBorders>
            <w:shd w:val="clear" w:color="000000" w:fill="FFFFFF"/>
            <w:vAlign w:val="center"/>
          </w:tcPr>
          <w:p>
            <w:pPr>
              <w:widowControl/>
              <w:spacing w:line="600" w:lineRule="exact"/>
              <w:jc w:val="center"/>
              <w:rPr>
                <w:rFonts w:hint="eastAsia" w:ascii="仿宋" w:hAnsi="仿宋" w:eastAsia="仿宋" w:cs="宋体"/>
                <w:kern w:val="0"/>
                <w:sz w:val="24"/>
                <w:szCs w:val="24"/>
              </w:rPr>
            </w:pPr>
          </w:p>
        </w:tc>
      </w:tr>
      <w:tr>
        <w:tblPrEx>
          <w:tblCellMar>
            <w:top w:w="0" w:type="dxa"/>
            <w:left w:w="108" w:type="dxa"/>
            <w:bottom w:w="0" w:type="dxa"/>
            <w:right w:w="108" w:type="dxa"/>
          </w:tblCellMar>
        </w:tblPrEx>
        <w:trPr>
          <w:trHeight w:val="906" w:hRule="atLeast"/>
        </w:trPr>
        <w:tc>
          <w:tcPr>
            <w:tcW w:w="1000" w:type="dxa"/>
            <w:tcBorders>
              <w:top w:val="nil"/>
              <w:left w:val="single" w:color="auto" w:sz="4" w:space="0"/>
              <w:bottom w:val="single" w:color="auto" w:sz="4" w:space="0"/>
              <w:right w:val="single" w:color="auto" w:sz="4" w:space="0"/>
            </w:tcBorders>
            <w:shd w:val="clear" w:color="000000" w:fill="FFFFFF"/>
            <w:vAlign w:val="center"/>
          </w:tcPr>
          <w:p>
            <w:pPr>
              <w:widowControl/>
              <w:spacing w:line="600" w:lineRule="exact"/>
              <w:jc w:val="center"/>
              <w:rPr>
                <w:rFonts w:ascii="仿宋" w:hAnsi="仿宋" w:eastAsia="仿宋" w:cs="宋体"/>
                <w:kern w:val="0"/>
                <w:sz w:val="24"/>
                <w:szCs w:val="24"/>
              </w:rPr>
            </w:pPr>
            <w:r>
              <w:rPr>
                <w:rFonts w:hint="eastAsia" w:ascii="仿宋" w:hAnsi="仿宋" w:eastAsia="仿宋" w:cs="宋体"/>
                <w:kern w:val="0"/>
                <w:sz w:val="24"/>
                <w:szCs w:val="24"/>
              </w:rPr>
              <w:t>4</w:t>
            </w:r>
          </w:p>
        </w:tc>
        <w:tc>
          <w:tcPr>
            <w:tcW w:w="2660" w:type="dxa"/>
            <w:tcBorders>
              <w:top w:val="nil"/>
              <w:left w:val="nil"/>
              <w:bottom w:val="single" w:color="auto" w:sz="4" w:space="0"/>
              <w:right w:val="single" w:color="auto" w:sz="4" w:space="0"/>
            </w:tcBorders>
            <w:shd w:val="clear" w:color="000000" w:fill="FFFFFF"/>
            <w:vAlign w:val="center"/>
          </w:tcPr>
          <w:p>
            <w:pPr>
              <w:widowControl/>
              <w:spacing w:line="600" w:lineRule="exact"/>
              <w:jc w:val="left"/>
              <w:rPr>
                <w:rFonts w:ascii="仿宋" w:hAnsi="仿宋" w:eastAsia="仿宋" w:cs="宋体"/>
                <w:kern w:val="0"/>
                <w:sz w:val="24"/>
                <w:szCs w:val="24"/>
              </w:rPr>
            </w:pPr>
            <w:r>
              <w:rPr>
                <w:rStyle w:val="12"/>
                <w:rFonts w:hint="eastAsia" w:ascii="仿宋" w:hAnsi="仿宋" w:eastAsia="仿宋" w:cs="宋体"/>
                <w:sz w:val="24"/>
                <w:szCs w:val="24"/>
              </w:rPr>
              <w:t>结构胶、耐候胶、密封胶、环氧树脂胶</w:t>
            </w:r>
          </w:p>
        </w:tc>
        <w:tc>
          <w:tcPr>
            <w:tcW w:w="4480" w:type="dxa"/>
            <w:tcBorders>
              <w:top w:val="nil"/>
              <w:left w:val="nil"/>
              <w:bottom w:val="single" w:color="auto" w:sz="4" w:space="0"/>
              <w:right w:val="single" w:color="auto" w:sz="4" w:space="0"/>
            </w:tcBorders>
            <w:shd w:val="clear" w:color="000000" w:fill="FFFFFF"/>
            <w:vAlign w:val="center"/>
          </w:tcPr>
          <w:p>
            <w:pPr>
              <w:widowControl/>
              <w:spacing w:line="600" w:lineRule="exact"/>
              <w:jc w:val="left"/>
              <w:rPr>
                <w:rFonts w:ascii="仿宋" w:hAnsi="仿宋" w:eastAsia="仿宋" w:cs="宋体"/>
                <w:kern w:val="0"/>
                <w:sz w:val="24"/>
                <w:szCs w:val="24"/>
              </w:rPr>
            </w:pPr>
            <w:r>
              <w:rPr>
                <w:rStyle w:val="12"/>
                <w:rFonts w:hint="eastAsia" w:ascii="仿宋" w:hAnsi="仿宋" w:eastAsia="仿宋" w:cs="宋体"/>
                <w:sz w:val="24"/>
                <w:szCs w:val="24"/>
              </w:rPr>
              <w:t>杭州之江、广州白云、道康宁、安泰</w:t>
            </w:r>
          </w:p>
        </w:tc>
        <w:tc>
          <w:tcPr>
            <w:tcW w:w="1800" w:type="dxa"/>
            <w:tcBorders>
              <w:top w:val="nil"/>
              <w:left w:val="nil"/>
              <w:bottom w:val="single" w:color="auto" w:sz="4" w:space="0"/>
              <w:right w:val="single" w:color="auto" w:sz="4" w:space="0"/>
            </w:tcBorders>
            <w:shd w:val="clear" w:color="000000" w:fill="FFFFFF"/>
            <w:vAlign w:val="center"/>
          </w:tcPr>
          <w:p>
            <w:pPr>
              <w:widowControl/>
              <w:spacing w:line="600" w:lineRule="exact"/>
              <w:jc w:val="left"/>
              <w:rPr>
                <w:rFonts w:ascii="仿宋" w:hAnsi="仿宋" w:eastAsia="仿宋" w:cs="Calibri"/>
                <w:kern w:val="0"/>
                <w:sz w:val="24"/>
                <w:szCs w:val="24"/>
              </w:rPr>
            </w:pPr>
            <w:r>
              <w:rPr>
                <w:rFonts w:ascii="仿宋" w:hAnsi="仿宋" w:eastAsia="仿宋" w:cs="Calibri"/>
                <w:kern w:val="0"/>
                <w:sz w:val="24"/>
                <w:szCs w:val="24"/>
              </w:rPr>
              <w:t>　</w:t>
            </w:r>
          </w:p>
        </w:tc>
      </w:tr>
    </w:tbl>
    <w:p>
      <w:pPr>
        <w:widowControl/>
        <w:spacing w:line="600" w:lineRule="exact"/>
        <w:ind w:firstLine="360" w:firstLineChars="150"/>
        <w:jc w:val="left"/>
        <w:rPr>
          <w:rFonts w:ascii="仿宋" w:hAnsi="仿宋" w:eastAsia="仿宋"/>
          <w:sz w:val="24"/>
          <w:szCs w:val="24"/>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C1A"/>
    <w:rsid w:val="00010313"/>
    <w:rsid w:val="0001722C"/>
    <w:rsid w:val="00031320"/>
    <w:rsid w:val="000A048C"/>
    <w:rsid w:val="000A1FFA"/>
    <w:rsid w:val="000C51B7"/>
    <w:rsid w:val="00133043"/>
    <w:rsid w:val="00137F31"/>
    <w:rsid w:val="00144026"/>
    <w:rsid w:val="00155E4C"/>
    <w:rsid w:val="00160C1C"/>
    <w:rsid w:val="00194F82"/>
    <w:rsid w:val="0019532F"/>
    <w:rsid w:val="001B234D"/>
    <w:rsid w:val="001B4137"/>
    <w:rsid w:val="001C65AD"/>
    <w:rsid w:val="001E24D6"/>
    <w:rsid w:val="001E4EB7"/>
    <w:rsid w:val="002154B6"/>
    <w:rsid w:val="00216EB9"/>
    <w:rsid w:val="0021785B"/>
    <w:rsid w:val="00245094"/>
    <w:rsid w:val="002462DF"/>
    <w:rsid w:val="002D0F2B"/>
    <w:rsid w:val="003058F7"/>
    <w:rsid w:val="00322762"/>
    <w:rsid w:val="00344BCF"/>
    <w:rsid w:val="003570BD"/>
    <w:rsid w:val="0037608D"/>
    <w:rsid w:val="003A08D7"/>
    <w:rsid w:val="003B7DC8"/>
    <w:rsid w:val="003C0F3F"/>
    <w:rsid w:val="003C3399"/>
    <w:rsid w:val="003C69E8"/>
    <w:rsid w:val="003E5BBE"/>
    <w:rsid w:val="003F1CAD"/>
    <w:rsid w:val="00466CCC"/>
    <w:rsid w:val="004B424A"/>
    <w:rsid w:val="004C50BA"/>
    <w:rsid w:val="004D47EC"/>
    <w:rsid w:val="004D78BB"/>
    <w:rsid w:val="0054521A"/>
    <w:rsid w:val="0057551C"/>
    <w:rsid w:val="0059531B"/>
    <w:rsid w:val="005A51B9"/>
    <w:rsid w:val="005B1127"/>
    <w:rsid w:val="005C08F1"/>
    <w:rsid w:val="005C4771"/>
    <w:rsid w:val="005D01F7"/>
    <w:rsid w:val="005E75EF"/>
    <w:rsid w:val="005F6CC1"/>
    <w:rsid w:val="006048C4"/>
    <w:rsid w:val="00611DA6"/>
    <w:rsid w:val="006123F2"/>
    <w:rsid w:val="00616505"/>
    <w:rsid w:val="00616DE3"/>
    <w:rsid w:val="0062213C"/>
    <w:rsid w:val="00633F40"/>
    <w:rsid w:val="0064688C"/>
    <w:rsid w:val="006549AD"/>
    <w:rsid w:val="00676D9B"/>
    <w:rsid w:val="00684D9C"/>
    <w:rsid w:val="006C01A4"/>
    <w:rsid w:val="006E49AF"/>
    <w:rsid w:val="006F01EB"/>
    <w:rsid w:val="0071542C"/>
    <w:rsid w:val="00722AB6"/>
    <w:rsid w:val="00734799"/>
    <w:rsid w:val="007C3B4F"/>
    <w:rsid w:val="007D61D3"/>
    <w:rsid w:val="007D7AF0"/>
    <w:rsid w:val="00815DA0"/>
    <w:rsid w:val="0083427E"/>
    <w:rsid w:val="008476A6"/>
    <w:rsid w:val="008540BB"/>
    <w:rsid w:val="0087209B"/>
    <w:rsid w:val="00877417"/>
    <w:rsid w:val="00880B76"/>
    <w:rsid w:val="008F5C05"/>
    <w:rsid w:val="0091259D"/>
    <w:rsid w:val="00922871"/>
    <w:rsid w:val="00931D45"/>
    <w:rsid w:val="00964BC0"/>
    <w:rsid w:val="009859C8"/>
    <w:rsid w:val="009A52C8"/>
    <w:rsid w:val="009B1F3C"/>
    <w:rsid w:val="009E1300"/>
    <w:rsid w:val="009E31A3"/>
    <w:rsid w:val="00A01F5E"/>
    <w:rsid w:val="00A16F1D"/>
    <w:rsid w:val="00A2534A"/>
    <w:rsid w:val="00A36370"/>
    <w:rsid w:val="00A60633"/>
    <w:rsid w:val="00A71EBD"/>
    <w:rsid w:val="00A866D9"/>
    <w:rsid w:val="00AD300E"/>
    <w:rsid w:val="00AD5183"/>
    <w:rsid w:val="00AE7C86"/>
    <w:rsid w:val="00AF20B8"/>
    <w:rsid w:val="00B513A1"/>
    <w:rsid w:val="00B718C0"/>
    <w:rsid w:val="00B77DEB"/>
    <w:rsid w:val="00B83878"/>
    <w:rsid w:val="00B86580"/>
    <w:rsid w:val="00B87513"/>
    <w:rsid w:val="00B94262"/>
    <w:rsid w:val="00BA0C1A"/>
    <w:rsid w:val="00BC5234"/>
    <w:rsid w:val="00C061CB"/>
    <w:rsid w:val="00C1747A"/>
    <w:rsid w:val="00C26887"/>
    <w:rsid w:val="00C604EC"/>
    <w:rsid w:val="00C85576"/>
    <w:rsid w:val="00CA3607"/>
    <w:rsid w:val="00CD0A97"/>
    <w:rsid w:val="00D02774"/>
    <w:rsid w:val="00D272C1"/>
    <w:rsid w:val="00D45950"/>
    <w:rsid w:val="00D604C7"/>
    <w:rsid w:val="00D642ED"/>
    <w:rsid w:val="00D80FEA"/>
    <w:rsid w:val="00D83A33"/>
    <w:rsid w:val="00DD1BCD"/>
    <w:rsid w:val="00DD6750"/>
    <w:rsid w:val="00E07D53"/>
    <w:rsid w:val="00E22574"/>
    <w:rsid w:val="00E24C79"/>
    <w:rsid w:val="00E26251"/>
    <w:rsid w:val="00E76880"/>
    <w:rsid w:val="00E82CC0"/>
    <w:rsid w:val="00EA1EE8"/>
    <w:rsid w:val="00EB5B9C"/>
    <w:rsid w:val="00F23713"/>
    <w:rsid w:val="00F53662"/>
    <w:rsid w:val="00F55D5E"/>
    <w:rsid w:val="00F616F4"/>
    <w:rsid w:val="00F74DB0"/>
    <w:rsid w:val="00F77B50"/>
    <w:rsid w:val="00FF7510"/>
    <w:rsid w:val="052F1B77"/>
    <w:rsid w:val="057A15B5"/>
    <w:rsid w:val="06242B0D"/>
    <w:rsid w:val="06303F5C"/>
    <w:rsid w:val="083D07F0"/>
    <w:rsid w:val="096B2505"/>
    <w:rsid w:val="0A001DBB"/>
    <w:rsid w:val="0C41295A"/>
    <w:rsid w:val="105E3B74"/>
    <w:rsid w:val="133F2B8C"/>
    <w:rsid w:val="144E5071"/>
    <w:rsid w:val="168C73E7"/>
    <w:rsid w:val="18D86D81"/>
    <w:rsid w:val="1C2C4424"/>
    <w:rsid w:val="1CD54CE6"/>
    <w:rsid w:val="1D3D5CBE"/>
    <w:rsid w:val="1DDA6C3D"/>
    <w:rsid w:val="1DEC38DC"/>
    <w:rsid w:val="22EE6677"/>
    <w:rsid w:val="27A103DD"/>
    <w:rsid w:val="27F767BD"/>
    <w:rsid w:val="2B3B093E"/>
    <w:rsid w:val="2D235EAB"/>
    <w:rsid w:val="2D404E8C"/>
    <w:rsid w:val="2D5E75FE"/>
    <w:rsid w:val="30456175"/>
    <w:rsid w:val="36772279"/>
    <w:rsid w:val="39763867"/>
    <w:rsid w:val="41526050"/>
    <w:rsid w:val="430D1C48"/>
    <w:rsid w:val="434067C1"/>
    <w:rsid w:val="4D2F1D5C"/>
    <w:rsid w:val="4F5E46D6"/>
    <w:rsid w:val="514606E7"/>
    <w:rsid w:val="54D16AE5"/>
    <w:rsid w:val="568D20C3"/>
    <w:rsid w:val="58606104"/>
    <w:rsid w:val="5B124194"/>
    <w:rsid w:val="5D8C7575"/>
    <w:rsid w:val="5E5111BB"/>
    <w:rsid w:val="62C61C22"/>
    <w:rsid w:val="64B813B2"/>
    <w:rsid w:val="6891331C"/>
    <w:rsid w:val="6EAF13B0"/>
    <w:rsid w:val="6EF86A79"/>
    <w:rsid w:val="70A50965"/>
    <w:rsid w:val="71061E72"/>
    <w:rsid w:val="758506CC"/>
    <w:rsid w:val="7A3B2499"/>
    <w:rsid w:val="7B014367"/>
    <w:rsid w:val="7D4154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Heading #1|1"/>
    <w:basedOn w:val="1"/>
    <w:qFormat/>
    <w:uiPriority w:val="0"/>
    <w:pPr>
      <w:shd w:val="clear" w:color="auto" w:fill="FFFFFF"/>
      <w:spacing w:line="340" w:lineRule="exact"/>
      <w:jc w:val="center"/>
      <w:outlineLvl w:val="0"/>
    </w:pPr>
    <w:rPr>
      <w:rFonts w:ascii="PMingLiU" w:hAnsi="PMingLiU" w:eastAsia="PMingLiU" w:cs="PMingLiU"/>
      <w:spacing w:val="20"/>
      <w:sz w:val="34"/>
      <w:szCs w:val="34"/>
    </w:rPr>
  </w:style>
  <w:style w:type="paragraph" w:customStyle="1" w:styleId="11">
    <w:name w:val="Body text|2"/>
    <w:basedOn w:val="1"/>
    <w:link w:val="13"/>
    <w:qFormat/>
    <w:uiPriority w:val="0"/>
    <w:pPr>
      <w:shd w:val="clear" w:color="auto" w:fill="FFFFFF"/>
    </w:pPr>
    <w:rPr>
      <w:sz w:val="20"/>
      <w:szCs w:val="20"/>
    </w:rPr>
  </w:style>
  <w:style w:type="character" w:customStyle="1" w:styleId="12">
    <w:name w:val="Body text|2 + PMingLiU"/>
    <w:basedOn w:val="13"/>
    <w:semiHidden/>
    <w:unhideWhenUsed/>
    <w:qFormat/>
    <w:uiPriority w:val="0"/>
    <w:rPr>
      <w:rFonts w:ascii="PMingLiU" w:hAnsi="PMingLiU" w:eastAsia="PMingLiU" w:cs="PMingLiU"/>
      <w:color w:val="000000"/>
      <w:spacing w:val="0"/>
      <w:w w:val="100"/>
      <w:position w:val="0"/>
      <w:sz w:val="20"/>
      <w:szCs w:val="20"/>
      <w:u w:val="none"/>
      <w:lang w:val="zh-CN" w:eastAsia="zh-CN" w:bidi="zh-CN"/>
    </w:rPr>
  </w:style>
  <w:style w:type="character" w:customStyle="1" w:styleId="13">
    <w:name w:val="Body text|2_"/>
    <w:basedOn w:val="6"/>
    <w:link w:val="11"/>
    <w:qFormat/>
    <w:uiPriority w:val="0"/>
    <w:rPr>
      <w:sz w:val="20"/>
      <w:szCs w:val="20"/>
      <w:u w:val="none"/>
    </w:rPr>
  </w:style>
  <w:style w:type="character" w:customStyle="1" w:styleId="14">
    <w:name w:val="Body text|2 + PMingLiU1"/>
    <w:basedOn w:val="13"/>
    <w:semiHidden/>
    <w:unhideWhenUsed/>
    <w:qFormat/>
    <w:uiPriority w:val="0"/>
    <w:rPr>
      <w:rFonts w:ascii="PMingLiU" w:hAnsi="PMingLiU" w:eastAsia="PMingLiU" w:cs="PMingLiU"/>
      <w:color w:val="000000"/>
      <w:spacing w:val="30"/>
      <w:w w:val="100"/>
      <w:position w:val="0"/>
      <w:sz w:val="20"/>
      <w:szCs w:val="20"/>
      <w:u w:val="none"/>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ns10="http://schemas.openxmlformats.org/schemaLibrary/2006/main"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1BD770-F5F5-464F-9FC8-B1E940FB770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194</Words>
  <Characters>1109</Characters>
  <Lines>9</Lines>
  <Paragraphs>2</Paragraphs>
  <TotalTime>134</TotalTime>
  <ScaleCrop>false</ScaleCrop>
  <LinksUpToDate>false</LinksUpToDate>
  <CharactersWithSpaces>1301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2020-02-24T02:30:00Z</dcterms:created>
  <dc:creator>Tencent</dc:creator>
  <cp:lastModifiedBy>常志兴</cp:lastModifiedBy>
  <dcterms:modified xsi:type="dcterms:W3CDTF">2021-05-13T08:40:57Z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C30148BD0E194510B27C6895FFDD5225</vt:lpwstr>
  </property>
</Properties>
</file>